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方正小标宋简体" w:hAnsi="方正小标宋简体" w:cs="方正小标宋简体" w:eastAsia="方正小标宋简体"/>
          <w:b w:val="true"/>
          <w:sz w:val="44"/>
        </w:rPr>
        <w:t>海关总署公告2023年第200号（关于进一步优化综合保税区进出区管理的公告）</w:t>
      </w:r>
    </w:p>
    <w:p>
      <w:pPr>
        <w:ind w:firstLine="32"/>
      </w:pP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为推动落实综合保税区高质量发展综合改革，进一步优化综合保税区进出区管理，现就实施卡口分类分级管理有关事项公告如下：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一、本公告所称卡口分类分级管理适用于综合保税区。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二、允许具备条件的综合保税区在卡口设置专门的便捷进出区通道，对进出区货物实行分类通行。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三、对区内建设所需的基建物资、区内企业和行政管理机构自用的办公用品、区内企业所需的劳保用品、区内人员所需的生活消费品等境内进出区货物实施卡口登记管理，通过便捷进出区通道进出。根据卡口设置实际，常规货物通道可以兼行卡口登记货物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四、对卡口登记货物实施差别化分级管理。简化核放单填报要素，对于第三条所述的基建物资、劳保用品、办公用品、生活消费品，其运输工具绑定的核放单中的“料号”“商品编码”为非必填项，对于其他卡口登记货物，其运输工具绑定的核放单中的“料号”为非必填项。对上述货物优化进区重量验核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五、对采用报关单、备案清单或保税核注清单办理进出区手续的危险化学品，企业须如实申报，并在保税核注清单勾选商品“危化品标志”。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六、海关对卡口登记货物进行抽查。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本公告自公布之日起施行。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>特此公告。</w:t>
      </w:r>
    </w:p>
    <w:p>
      <w:pPr>
        <w:ind w:firstLine="32"/>
        <w:jc w:val="right"/>
      </w:pPr>
      <w:r>
        <w:rPr>
          <w:rFonts w:ascii="仿宋_GB2312" w:hAnsi="仿宋_GB2312" w:cs="仿宋_GB2312" w:eastAsia="仿宋_GB2312"/>
          <w:sz w:val="32"/>
        </w:rPr>
        <w:t>海关总署</w:t>
      </w:r>
    </w:p>
    <w:p>
      <w:pPr>
        <w:ind w:firstLine="32"/>
        <w:jc w:val="right"/>
      </w:pPr>
      <w:r>
        <w:rPr>
          <w:rFonts w:ascii="仿宋_GB2312" w:hAnsi="仿宋_GB2312" w:cs="仿宋_GB2312" w:eastAsia="仿宋_GB2312"/>
          <w:sz w:val="32"/>
        </w:rPr>
        <w:t>2023年12月29日</w:t>
      </w:r>
    </w:p>
    <w:p>
      <w:pPr>
        <w:ind w:firstLine="32"/>
      </w:pPr>
      <w:r>
        <w:rPr>
          <w:rFonts w:ascii="仿宋_GB2312" w:hAnsi="仿宋_GB2312" w:cs="仿宋_GB2312" w:eastAsia="仿宋_GB2312"/>
          <w:sz w:val="32"/>
        </w:rPr>
        <w:t/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2024-08-09T03:40:07Z</dcterms:created>
  <dc:creator>Apache POI</dc:creator>
</cp:coreProperties>
</file>